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DA6060">
      <w:pPr>
        <w:autoSpaceDE w:val="0"/>
        <w:autoSpaceDN w:val="0"/>
        <w:adjustRightInd w:val="0"/>
        <w:snapToGrid w:val="0"/>
        <w:spacing w:line="360" w:lineRule="auto"/>
        <w:jc w:val="center"/>
        <w:rPr>
          <w:kern w:val="0"/>
          <w:sz w:val="28"/>
          <w:szCs w:val="28"/>
        </w:rPr>
      </w:pPr>
      <w:bookmarkStart w:id="4" w:name="_GoBack"/>
      <w:bookmarkEnd w:id="4"/>
      <w:r>
        <w:rPr>
          <w:b/>
          <w:bCs/>
          <w:kern w:val="0"/>
          <w:sz w:val="28"/>
          <w:szCs w:val="28"/>
        </w:rPr>
        <w:t>Supplementary Information</w:t>
      </w:r>
    </w:p>
    <w:p w14:paraId="7A31A994">
      <w:pPr>
        <w:snapToGrid w:val="0"/>
        <w:spacing w:before="120" w:beforeLines="50" w:after="120" w:afterLines="50" w:line="360" w:lineRule="auto"/>
        <w:jc w:val="center"/>
        <w:rPr>
          <w:b/>
          <w:bCs/>
          <w:sz w:val="24"/>
        </w:rPr>
      </w:pPr>
      <w:bookmarkStart w:id="0" w:name="_Hlk73546686"/>
      <w:bookmarkStart w:id="1" w:name="_Hlk71899663"/>
      <w:bookmarkStart w:id="2" w:name="_Hlk518195059"/>
      <w:r>
        <w:rPr>
          <w:b/>
          <w:bCs/>
          <w:sz w:val="24"/>
        </w:rPr>
        <w:t xml:space="preserve">Keystone </w:t>
      </w:r>
      <w:r>
        <w:rPr>
          <w:rFonts w:hint="eastAsia"/>
          <w:b/>
          <w:bCs/>
          <w:sz w:val="24"/>
        </w:rPr>
        <w:t>M</w:t>
      </w:r>
      <w:r>
        <w:rPr>
          <w:b/>
          <w:bCs/>
          <w:sz w:val="24"/>
        </w:rPr>
        <w:t xml:space="preserve">icrobial </w:t>
      </w:r>
      <w:r>
        <w:rPr>
          <w:rFonts w:hint="eastAsia"/>
          <w:b/>
          <w:bCs/>
          <w:sz w:val="24"/>
        </w:rPr>
        <w:t>T</w:t>
      </w:r>
      <w:r>
        <w:rPr>
          <w:b/>
          <w:bCs/>
          <w:sz w:val="24"/>
        </w:rPr>
        <w:t xml:space="preserve">axa </w:t>
      </w:r>
      <w:r>
        <w:rPr>
          <w:rFonts w:hint="eastAsia"/>
          <w:b/>
          <w:bCs/>
          <w:sz w:val="24"/>
        </w:rPr>
        <w:t>w</w:t>
      </w:r>
      <w:r>
        <w:rPr>
          <w:b/>
          <w:bCs/>
          <w:sz w:val="24"/>
        </w:rPr>
        <w:t xml:space="preserve">ith </w:t>
      </w:r>
      <w:r>
        <w:rPr>
          <w:rFonts w:hint="eastAsia"/>
          <w:b/>
          <w:bCs/>
          <w:sz w:val="24"/>
        </w:rPr>
        <w:t>I</w:t>
      </w:r>
      <w:r>
        <w:rPr>
          <w:b/>
          <w:bCs/>
          <w:sz w:val="24"/>
        </w:rPr>
        <w:t xml:space="preserve">nterannual </w:t>
      </w:r>
      <w:r>
        <w:rPr>
          <w:rFonts w:hint="eastAsia"/>
          <w:b/>
          <w:bCs/>
          <w:sz w:val="24"/>
        </w:rPr>
        <w:t>D</w:t>
      </w:r>
      <w:r>
        <w:rPr>
          <w:b/>
          <w:bCs/>
          <w:sz w:val="24"/>
        </w:rPr>
        <w:t xml:space="preserve">ynamics and </w:t>
      </w:r>
      <w:r>
        <w:rPr>
          <w:rFonts w:hint="eastAsia"/>
          <w:b/>
          <w:bCs/>
          <w:sz w:val="24"/>
        </w:rPr>
        <w:t>M</w:t>
      </w:r>
      <w:r>
        <w:rPr>
          <w:b/>
          <w:bCs/>
          <w:sz w:val="24"/>
        </w:rPr>
        <w:t xml:space="preserve">etabolic </w:t>
      </w:r>
      <w:r>
        <w:rPr>
          <w:rFonts w:hint="eastAsia"/>
          <w:b/>
          <w:bCs/>
          <w:sz w:val="24"/>
        </w:rPr>
        <w:t>V</w:t>
      </w:r>
      <w:r>
        <w:rPr>
          <w:b/>
          <w:bCs/>
          <w:sz w:val="24"/>
        </w:rPr>
        <w:t xml:space="preserve">ersatility </w:t>
      </w:r>
      <w:r>
        <w:rPr>
          <w:rFonts w:hint="eastAsia"/>
          <w:b/>
          <w:bCs/>
          <w:sz w:val="24"/>
        </w:rPr>
        <w:t>D</w:t>
      </w:r>
      <w:r>
        <w:rPr>
          <w:b/>
          <w:bCs/>
          <w:sz w:val="24"/>
        </w:rPr>
        <w:t xml:space="preserve">rive </w:t>
      </w:r>
      <w:r>
        <w:rPr>
          <w:rFonts w:hint="eastAsia"/>
          <w:b/>
          <w:bCs/>
          <w:sz w:val="24"/>
        </w:rPr>
        <w:t>E</w:t>
      </w:r>
      <w:r>
        <w:rPr>
          <w:b/>
          <w:bCs/>
          <w:sz w:val="24"/>
        </w:rPr>
        <w:t xml:space="preserve">lement </w:t>
      </w:r>
      <w:r>
        <w:rPr>
          <w:rFonts w:hint="eastAsia"/>
          <w:b/>
          <w:bCs/>
          <w:sz w:val="24"/>
        </w:rPr>
        <w:t>B</w:t>
      </w:r>
      <w:r>
        <w:rPr>
          <w:b/>
          <w:bCs/>
          <w:sz w:val="24"/>
        </w:rPr>
        <w:t xml:space="preserve">iogeochemical </w:t>
      </w:r>
      <w:r>
        <w:rPr>
          <w:rFonts w:hint="eastAsia"/>
          <w:b/>
          <w:bCs/>
          <w:sz w:val="24"/>
        </w:rPr>
        <w:t>C</w:t>
      </w:r>
      <w:r>
        <w:rPr>
          <w:b/>
          <w:bCs/>
          <w:sz w:val="24"/>
        </w:rPr>
        <w:t xml:space="preserve">ycling </w:t>
      </w:r>
      <w:r>
        <w:rPr>
          <w:rFonts w:hint="eastAsia"/>
          <w:b/>
          <w:bCs/>
          <w:sz w:val="24"/>
        </w:rPr>
        <w:t>i</w:t>
      </w:r>
      <w:r>
        <w:rPr>
          <w:b/>
          <w:bCs/>
          <w:sz w:val="24"/>
        </w:rPr>
        <w:t xml:space="preserve">n a </w:t>
      </w:r>
      <w:r>
        <w:rPr>
          <w:rFonts w:hint="eastAsia"/>
          <w:b/>
          <w:bCs/>
          <w:sz w:val="24"/>
        </w:rPr>
        <w:t>L</w:t>
      </w:r>
      <w:r>
        <w:rPr>
          <w:b/>
          <w:bCs/>
          <w:sz w:val="24"/>
        </w:rPr>
        <w:t xml:space="preserve">arge </w:t>
      </w:r>
      <w:r>
        <w:rPr>
          <w:rFonts w:hint="eastAsia"/>
          <w:b/>
          <w:bCs/>
          <w:sz w:val="24"/>
        </w:rPr>
        <w:t>D</w:t>
      </w:r>
      <w:r>
        <w:rPr>
          <w:b/>
          <w:bCs/>
          <w:sz w:val="24"/>
        </w:rPr>
        <w:t>eep</w:t>
      </w:r>
      <w:r>
        <w:rPr>
          <w:rFonts w:hint="eastAsia"/>
          <w:b/>
          <w:bCs/>
          <w:sz w:val="24"/>
        </w:rPr>
        <w:t>-W</w:t>
      </w:r>
      <w:r>
        <w:rPr>
          <w:b/>
          <w:bCs/>
          <w:sz w:val="24"/>
        </w:rPr>
        <w:t xml:space="preserve">ater </w:t>
      </w:r>
      <w:r>
        <w:rPr>
          <w:rFonts w:hint="eastAsia"/>
          <w:b/>
          <w:bCs/>
          <w:sz w:val="24"/>
        </w:rPr>
        <w:t>R</w:t>
      </w:r>
      <w:r>
        <w:rPr>
          <w:b/>
          <w:bCs/>
          <w:sz w:val="24"/>
        </w:rPr>
        <w:t>eservoir</w:t>
      </w:r>
    </w:p>
    <w:bookmarkEnd w:id="0"/>
    <w:bookmarkEnd w:id="1"/>
    <w:bookmarkEnd w:id="2"/>
    <w:p w14:paraId="465E05B0">
      <w:pPr>
        <w:spacing w:before="240" w:after="240" w:line="360" w:lineRule="auto"/>
        <w:jc w:val="center"/>
        <w:rPr>
          <w:sz w:val="24"/>
        </w:rPr>
      </w:pPr>
      <w:r>
        <w:rPr>
          <w:sz w:val="24"/>
        </w:rPr>
        <w:t>J</w:t>
      </w:r>
      <w:r>
        <w:rPr>
          <w:rFonts w:hint="eastAsia"/>
          <w:sz w:val="24"/>
        </w:rPr>
        <w:t>iaxin</w:t>
      </w:r>
      <w:r>
        <w:rPr>
          <w:sz w:val="24"/>
        </w:rPr>
        <w:t xml:space="preserve"> Shi</w:t>
      </w:r>
      <w:r>
        <w:rPr>
          <w:rFonts w:hint="eastAsia"/>
          <w:sz w:val="24"/>
          <w:vertAlign w:val="superscript"/>
        </w:rPr>
        <w:t>1,2,#</w:t>
      </w:r>
      <w:r>
        <w:rPr>
          <w:sz w:val="24"/>
        </w:rPr>
        <w:t xml:space="preserve">, </w:t>
      </w:r>
      <w:r>
        <w:rPr>
          <w:rFonts w:hint="eastAsia"/>
          <w:sz w:val="24"/>
        </w:rPr>
        <w:t>Wenzhe Hu</w:t>
      </w:r>
      <w:r>
        <w:rPr>
          <w:rFonts w:hint="eastAsia"/>
          <w:sz w:val="24"/>
          <w:vertAlign w:val="superscript"/>
        </w:rPr>
        <w:t>3,#</w:t>
      </w:r>
      <w:r>
        <w:rPr>
          <w:rFonts w:hint="eastAsia"/>
          <w:sz w:val="24"/>
        </w:rPr>
        <w:t>, Shu Huang</w:t>
      </w:r>
      <w:r>
        <w:rPr>
          <w:rFonts w:hint="eastAsia"/>
          <w:sz w:val="24"/>
          <w:vertAlign w:val="superscript"/>
        </w:rPr>
        <w:t>1</w:t>
      </w:r>
      <w:r>
        <w:rPr>
          <w:rFonts w:hint="eastAsia"/>
          <w:sz w:val="24"/>
        </w:rPr>
        <w:t>, Jun Liu</w:t>
      </w:r>
      <w:r>
        <w:rPr>
          <w:rFonts w:hint="eastAsia"/>
          <w:sz w:val="24"/>
          <w:vertAlign w:val="superscript"/>
        </w:rPr>
        <w:t>3,*</w:t>
      </w:r>
      <w:r>
        <w:rPr>
          <w:rFonts w:hint="eastAsia"/>
          <w:sz w:val="24"/>
        </w:rPr>
        <w:t>, B</w:t>
      </w:r>
      <w:r>
        <w:rPr>
          <w:sz w:val="24"/>
        </w:rPr>
        <w:t>aogang Zhang</w:t>
      </w:r>
      <w:r>
        <w:rPr>
          <w:rFonts w:hint="eastAsia"/>
          <w:sz w:val="24"/>
          <w:vertAlign w:val="superscript"/>
        </w:rPr>
        <w:t>2,*</w:t>
      </w:r>
    </w:p>
    <w:p w14:paraId="200D1558">
      <w:pPr>
        <w:spacing w:before="240" w:after="240" w:line="360" w:lineRule="auto"/>
        <w:jc w:val="center"/>
        <w:rPr>
          <w:i/>
          <w:iCs/>
          <w:sz w:val="24"/>
        </w:rPr>
      </w:pPr>
      <w:r>
        <w:rPr>
          <w:rFonts w:hint="eastAsia"/>
          <w:i/>
          <w:iCs/>
          <w:sz w:val="24"/>
          <w:vertAlign w:val="superscript"/>
        </w:rPr>
        <w:t>1</w:t>
      </w:r>
      <w:r>
        <w:rPr>
          <w:i/>
          <w:iCs/>
          <w:sz w:val="24"/>
        </w:rPr>
        <w:t xml:space="preserve"> </w:t>
      </w:r>
      <w:r>
        <w:rPr>
          <w:rFonts w:hint="eastAsia"/>
          <w:i/>
          <w:iCs/>
          <w:sz w:val="24"/>
        </w:rPr>
        <w:t>School of Environment and Geography</w:t>
      </w:r>
      <w:r>
        <w:rPr>
          <w:i/>
          <w:iCs/>
          <w:sz w:val="24"/>
        </w:rPr>
        <w:t>, Qingdao University, Qingdao 266071, P. R. China</w:t>
      </w:r>
    </w:p>
    <w:p w14:paraId="30F893BB">
      <w:pPr>
        <w:spacing w:before="240" w:after="240" w:line="360" w:lineRule="auto"/>
        <w:jc w:val="center"/>
        <w:rPr>
          <w:i/>
          <w:iCs/>
          <w:sz w:val="24"/>
        </w:rPr>
      </w:pPr>
      <w:r>
        <w:rPr>
          <w:rFonts w:hint="eastAsia"/>
          <w:i/>
          <w:iCs/>
          <w:sz w:val="24"/>
          <w:vertAlign w:val="superscript"/>
        </w:rPr>
        <w:t>2</w:t>
      </w:r>
      <w:r>
        <w:rPr>
          <w:i/>
          <w:iCs/>
          <w:sz w:val="24"/>
        </w:rPr>
        <w:t xml:space="preserve"> MOE Key Laboratory of Groundwater Circulation and Environmental Evolution, School of Water Resources and Environment, China University of Geosciences (Beijing), Beijing 100083, P. R. China</w:t>
      </w:r>
    </w:p>
    <w:p w14:paraId="59EA25CE">
      <w:pPr>
        <w:spacing w:before="240" w:after="240" w:line="360" w:lineRule="auto"/>
        <w:jc w:val="center"/>
        <w:rPr>
          <w:i/>
          <w:iCs/>
          <w:sz w:val="24"/>
        </w:rPr>
      </w:pPr>
      <w:r>
        <w:rPr>
          <w:rFonts w:hint="eastAsia"/>
          <w:i/>
          <w:iCs/>
          <w:sz w:val="24"/>
          <w:vertAlign w:val="superscript"/>
        </w:rPr>
        <w:t>3</w:t>
      </w:r>
      <w:r>
        <w:rPr>
          <w:i/>
          <w:iCs/>
          <w:sz w:val="24"/>
        </w:rPr>
        <w:t xml:space="preserve"> State Key Laboratory of Agricultural Microbiology, State Environmental Protection Key Laboratory of Soil Health and Green Remediation, College of Resources and Environment, Huazhong Agricultural University, Wuhan, China</w:t>
      </w:r>
    </w:p>
    <w:p w14:paraId="1F27E190">
      <w:pPr>
        <w:spacing w:before="240" w:after="240" w:line="360" w:lineRule="auto"/>
        <w:jc w:val="center"/>
        <w:rPr>
          <w:i/>
          <w:iCs/>
          <w:sz w:val="24"/>
        </w:rPr>
      </w:pPr>
    </w:p>
    <w:p w14:paraId="4C95170C">
      <w:pPr>
        <w:spacing w:before="240" w:after="240" w:line="360" w:lineRule="auto"/>
        <w:jc w:val="center"/>
        <w:rPr>
          <w:i/>
          <w:iCs/>
          <w:sz w:val="24"/>
        </w:rPr>
      </w:pPr>
    </w:p>
    <w:p w14:paraId="6AC2F51D">
      <w:pPr>
        <w:spacing w:before="240" w:after="240" w:line="360" w:lineRule="auto"/>
        <w:jc w:val="center"/>
        <w:rPr>
          <w:i/>
          <w:iCs/>
          <w:sz w:val="24"/>
        </w:rPr>
      </w:pPr>
    </w:p>
    <w:p w14:paraId="46C32B54">
      <w:pPr>
        <w:spacing w:before="240" w:after="240" w:line="360" w:lineRule="auto"/>
        <w:jc w:val="center"/>
        <w:rPr>
          <w:i/>
          <w:iCs/>
          <w:sz w:val="24"/>
        </w:rPr>
      </w:pPr>
    </w:p>
    <w:p w14:paraId="06B93691">
      <w:pPr>
        <w:autoSpaceDE w:val="0"/>
        <w:autoSpaceDN w:val="0"/>
        <w:adjustRightInd w:val="0"/>
        <w:snapToGrid w:val="0"/>
        <w:spacing w:before="50" w:after="50" w:line="360" w:lineRule="auto"/>
        <w:jc w:val="left"/>
        <w:rPr>
          <w:kern w:val="0"/>
          <w:sz w:val="24"/>
        </w:rPr>
      </w:pPr>
      <w:bookmarkStart w:id="3" w:name="_Hlk518195076"/>
      <w:r>
        <w:rPr>
          <w:rStyle w:val="12"/>
          <w:sz w:val="24"/>
        </w:rPr>
        <w:t>*</w:t>
      </w:r>
      <w:r>
        <w:rPr>
          <w:rFonts w:hint="eastAsia"/>
          <w:sz w:val="24"/>
        </w:rPr>
        <w:t xml:space="preserve"> </w:t>
      </w:r>
      <w:r>
        <w:rPr>
          <w:kern w:val="0"/>
          <w:sz w:val="24"/>
        </w:rPr>
        <w:t>Corresponding author</w:t>
      </w:r>
      <w:r>
        <w:rPr>
          <w:rFonts w:hint="eastAsia"/>
          <w:kern w:val="0"/>
          <w:sz w:val="24"/>
        </w:rPr>
        <w:t>s</w:t>
      </w:r>
      <w:r>
        <w:rPr>
          <w:kern w:val="0"/>
          <w:sz w:val="24"/>
        </w:rPr>
        <w:t>.</w:t>
      </w:r>
    </w:p>
    <w:p w14:paraId="2F9D99FF">
      <w:pPr>
        <w:autoSpaceDE w:val="0"/>
        <w:autoSpaceDN w:val="0"/>
        <w:adjustRightInd w:val="0"/>
        <w:snapToGrid w:val="0"/>
        <w:spacing w:before="50" w:after="50" w:line="360" w:lineRule="auto"/>
        <w:jc w:val="left"/>
        <w:rPr>
          <w:sz w:val="24"/>
        </w:rPr>
      </w:pPr>
      <w:r>
        <w:rPr>
          <w:sz w:val="24"/>
        </w:rPr>
        <w:t>Tel.: +86 10 8232 2281; Fax: +86 10 8232 1081. E-mail:</w:t>
      </w:r>
      <w:bookmarkEnd w:id="3"/>
      <w:r>
        <w:rPr>
          <w:rFonts w:hint="eastAsia"/>
          <w:sz w:val="24"/>
        </w:rPr>
        <w:t xml:space="preserve"> </w:t>
      </w:r>
      <w:r>
        <w:rPr>
          <w:sz w:val="24"/>
        </w:rPr>
        <w:t>liujun2021@mail.hzau.edu.cn (</w:t>
      </w:r>
      <w:r>
        <w:rPr>
          <w:rFonts w:hint="eastAsia"/>
          <w:sz w:val="24"/>
        </w:rPr>
        <w:t>J</w:t>
      </w:r>
      <w:r>
        <w:rPr>
          <w:sz w:val="24"/>
        </w:rPr>
        <w:t xml:space="preserve">. </w:t>
      </w:r>
      <w:r>
        <w:rPr>
          <w:rFonts w:hint="eastAsia"/>
          <w:sz w:val="24"/>
        </w:rPr>
        <w:t>Liu</w:t>
      </w:r>
      <w:r>
        <w:rPr>
          <w:sz w:val="24"/>
        </w:rPr>
        <w:t>)</w:t>
      </w:r>
      <w:r>
        <w:rPr>
          <w:rFonts w:hint="eastAsia"/>
          <w:sz w:val="24"/>
        </w:rPr>
        <w:t xml:space="preserve">, </w:t>
      </w:r>
      <w:r>
        <w:rPr>
          <w:sz w:val="24"/>
        </w:rPr>
        <w:t>baogangzhang@cugb.edu.cn (B. Zhang)</w:t>
      </w:r>
      <w:r>
        <w:rPr>
          <w:rFonts w:hint="eastAsia"/>
          <w:sz w:val="24"/>
        </w:rPr>
        <w:t>.</w:t>
      </w:r>
    </w:p>
    <w:p w14:paraId="77571BBB">
      <w:pPr>
        <w:autoSpaceDE w:val="0"/>
        <w:autoSpaceDN w:val="0"/>
        <w:adjustRightInd w:val="0"/>
        <w:snapToGrid w:val="0"/>
        <w:spacing w:before="50" w:after="50" w:line="360" w:lineRule="auto"/>
        <w:jc w:val="left"/>
        <w:rPr>
          <w:sz w:val="24"/>
        </w:rPr>
      </w:pPr>
      <w:r>
        <w:rPr>
          <w:rFonts w:hint="eastAsia"/>
          <w:sz w:val="24"/>
          <w:vertAlign w:val="superscript"/>
        </w:rPr>
        <w:t xml:space="preserve"># </w:t>
      </w:r>
      <w:r>
        <w:rPr>
          <w:rFonts w:hint="eastAsia"/>
          <w:sz w:val="24"/>
        </w:rPr>
        <w:t>Authors contributed equally: Jiaxin Shi, Wenzhe Hu</w:t>
      </w:r>
    </w:p>
    <w:p w14:paraId="71A4AEAF">
      <w:pPr>
        <w:snapToGrid w:val="0"/>
        <w:spacing w:line="360" w:lineRule="auto"/>
        <w:rPr>
          <w:sz w:val="24"/>
        </w:rPr>
      </w:pPr>
    </w:p>
    <w:p w14:paraId="0F122980">
      <w:pPr>
        <w:snapToGrid w:val="0"/>
        <w:spacing w:line="360" w:lineRule="auto"/>
        <w:rPr>
          <w:sz w:val="24"/>
        </w:rPr>
      </w:pPr>
    </w:p>
    <w:p w14:paraId="73A676BB">
      <w:pPr>
        <w:snapToGrid w:val="0"/>
        <w:spacing w:line="360" w:lineRule="auto"/>
        <w:rPr>
          <w:sz w:val="24"/>
        </w:rPr>
      </w:pPr>
    </w:p>
    <w:p w14:paraId="4CAF78FF">
      <w:pPr>
        <w:snapToGrid w:val="0"/>
        <w:spacing w:line="360" w:lineRule="auto"/>
        <w:rPr>
          <w:sz w:val="24"/>
        </w:rPr>
      </w:pPr>
      <w:r>
        <w:rPr>
          <w:sz w:val="24"/>
        </w:rPr>
        <w:t>This supporting information contains:</w:t>
      </w:r>
    </w:p>
    <w:p w14:paraId="02C199B8">
      <w:pPr>
        <w:snapToGrid w:val="0"/>
        <w:spacing w:line="360" w:lineRule="auto"/>
        <w:rPr>
          <w:sz w:val="24"/>
        </w:rPr>
      </w:pPr>
      <w:r>
        <w:rPr>
          <w:sz w:val="24"/>
        </w:rPr>
        <w:t xml:space="preserve">number of pages: </w:t>
      </w:r>
      <w:r>
        <w:rPr>
          <w:rFonts w:hint="eastAsia"/>
          <w:sz w:val="24"/>
        </w:rPr>
        <w:t>6</w:t>
      </w:r>
    </w:p>
    <w:p w14:paraId="5832DB78">
      <w:pPr>
        <w:snapToGrid w:val="0"/>
        <w:spacing w:line="360" w:lineRule="auto"/>
        <w:rPr>
          <w:sz w:val="24"/>
        </w:rPr>
      </w:pPr>
      <w:r>
        <w:rPr>
          <w:sz w:val="24"/>
        </w:rPr>
        <w:t xml:space="preserve">number of figures: </w:t>
      </w:r>
      <w:r>
        <w:rPr>
          <w:rFonts w:hint="eastAsia"/>
          <w:sz w:val="24"/>
        </w:rPr>
        <w:t>4</w:t>
      </w:r>
    </w:p>
    <w:p w14:paraId="39275008">
      <w:pPr>
        <w:snapToGrid w:val="0"/>
        <w:spacing w:line="360" w:lineRule="auto"/>
        <w:rPr>
          <w:sz w:val="24"/>
        </w:rPr>
      </w:pPr>
      <w:r>
        <w:rPr>
          <w:sz w:val="24"/>
        </w:rPr>
        <w:t xml:space="preserve">number of </w:t>
      </w:r>
      <w:r>
        <w:rPr>
          <w:rFonts w:hint="eastAsia"/>
          <w:sz w:val="24"/>
        </w:rPr>
        <w:t>table</w:t>
      </w:r>
      <w:r>
        <w:rPr>
          <w:sz w:val="24"/>
        </w:rPr>
        <w:t xml:space="preserve">s: </w:t>
      </w:r>
      <w:r>
        <w:rPr>
          <w:rFonts w:hint="eastAsia"/>
          <w:sz w:val="24"/>
        </w:rPr>
        <w:t>2</w:t>
      </w:r>
    </w:p>
    <w:p w14:paraId="0616F0FA">
      <w:pPr>
        <w:snapToGrid w:val="0"/>
        <w:spacing w:line="360" w:lineRule="auto"/>
        <w:rPr>
          <w:sz w:val="24"/>
        </w:rPr>
      </w:pPr>
    </w:p>
    <w:p w14:paraId="0FFABE06">
      <w:pPr>
        <w:widowControl/>
        <w:spacing w:line="480" w:lineRule="auto"/>
        <w:jc w:val="center"/>
        <w:rPr>
          <w:sz w:val="24"/>
        </w:rPr>
      </w:pPr>
      <w:r>
        <w:rPr>
          <w:rFonts w:hint="eastAsia"/>
          <w:sz w:val="24"/>
        </w:rPr>
        <w:drawing>
          <wp:inline distT="0" distB="0" distL="0" distR="0">
            <wp:extent cx="5274310" cy="3140710"/>
            <wp:effectExtent l="0" t="0" r="2540" b="2540"/>
            <wp:docPr id="6926139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613921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8F69">
      <w:pPr>
        <w:widowControl/>
        <w:spacing w:line="480" w:lineRule="auto"/>
        <w:jc w:val="left"/>
        <w:rPr>
          <w:sz w:val="24"/>
        </w:rPr>
      </w:pPr>
      <w:r>
        <w:rPr>
          <w:b/>
          <w:sz w:val="24"/>
        </w:rPr>
        <w:t xml:space="preserve">Fig. S1. </w:t>
      </w:r>
      <w:r>
        <w:rPr>
          <w:sz w:val="24"/>
        </w:rPr>
        <w:t>Sampling location</w:t>
      </w:r>
      <w:r>
        <w:rPr>
          <w:rFonts w:hint="eastAsia"/>
          <w:sz w:val="24"/>
        </w:rPr>
        <w:t xml:space="preserve"> of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the </w:t>
      </w:r>
      <w:r>
        <w:rPr>
          <w:sz w:val="24"/>
        </w:rPr>
        <w:t>Xiaowan Reservoir.</w:t>
      </w:r>
      <w:r>
        <w:rPr>
          <w:sz w:val="24"/>
        </w:rPr>
        <w:br w:type="page"/>
      </w:r>
    </w:p>
    <w:p w14:paraId="457A0A85">
      <w:pPr>
        <w:snapToGrid w:val="0"/>
        <w:spacing w:line="480" w:lineRule="auto"/>
        <w:jc w:val="center"/>
      </w:pPr>
      <w:r>
        <w:rPr>
          <w:rFonts w:hint="eastAsia"/>
        </w:rPr>
        <w:drawing>
          <wp:inline distT="0" distB="0" distL="0" distR="0">
            <wp:extent cx="5274310" cy="4573905"/>
            <wp:effectExtent l="0" t="0" r="2540" b="0"/>
            <wp:docPr id="17483654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365476" name="图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7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C843B">
      <w:pPr>
        <w:widowControl/>
        <w:spacing w:line="480" w:lineRule="auto"/>
        <w:jc w:val="left"/>
        <w:rPr>
          <w:sz w:val="24"/>
        </w:rPr>
      </w:pPr>
      <w:r>
        <w:rPr>
          <w:b/>
          <w:sz w:val="24"/>
        </w:rPr>
        <w:t>Fig. S</w:t>
      </w:r>
      <w:r>
        <w:rPr>
          <w:rFonts w:hint="eastAsia"/>
          <w:b/>
          <w:sz w:val="24"/>
        </w:rPr>
        <w:t>2</w:t>
      </w:r>
      <w:r>
        <w:rPr>
          <w:b/>
          <w:sz w:val="24"/>
        </w:rPr>
        <w:t xml:space="preserve">. </w:t>
      </w:r>
      <w:r>
        <w:rPr>
          <w:sz w:val="24"/>
        </w:rPr>
        <w:t xml:space="preserve">Rarefaction curves of </w:t>
      </w:r>
      <w:r>
        <w:rPr>
          <w:rFonts w:hint="eastAsia"/>
          <w:sz w:val="24"/>
        </w:rPr>
        <w:t>microbial</w:t>
      </w:r>
      <w:r>
        <w:rPr>
          <w:sz w:val="24"/>
        </w:rPr>
        <w:t xml:space="preserve"> richness for all samples.</w:t>
      </w:r>
      <w:r>
        <w:rPr>
          <w:sz w:val="24"/>
        </w:rPr>
        <w:br w:type="page"/>
      </w:r>
    </w:p>
    <w:p w14:paraId="6AE8DFA8">
      <w:pPr>
        <w:widowControl/>
        <w:spacing w:line="480" w:lineRule="auto"/>
        <w:jc w:val="center"/>
        <w:rPr>
          <w:sz w:val="24"/>
        </w:rPr>
      </w:pPr>
      <w:r>
        <w:rPr>
          <w:rFonts w:hint="eastAsia"/>
          <w:sz w:val="24"/>
        </w:rPr>
        <w:drawing>
          <wp:inline distT="0" distB="0" distL="0" distR="0">
            <wp:extent cx="5274310" cy="3596640"/>
            <wp:effectExtent l="0" t="0" r="2540" b="3810"/>
            <wp:docPr id="8417875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787590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BE384">
      <w:pPr>
        <w:widowControl/>
        <w:spacing w:line="480" w:lineRule="auto"/>
        <w:jc w:val="left"/>
        <w:rPr>
          <w:sz w:val="24"/>
        </w:rPr>
      </w:pPr>
      <w:r>
        <w:rPr>
          <w:b/>
          <w:sz w:val="24"/>
        </w:rPr>
        <w:t>Fig. S</w:t>
      </w:r>
      <w:r>
        <w:rPr>
          <w:rFonts w:hint="eastAsia"/>
          <w:b/>
          <w:sz w:val="24"/>
        </w:rPr>
        <w:t>3</w:t>
      </w:r>
      <w:r>
        <w:rPr>
          <w:b/>
          <w:sz w:val="24"/>
        </w:rPr>
        <w:t xml:space="preserve">. </w:t>
      </w:r>
      <w:r>
        <w:rPr>
          <w:rFonts w:hint="eastAsia"/>
          <w:sz w:val="24"/>
        </w:rPr>
        <w:t>Microbial</w:t>
      </w:r>
      <w:r>
        <w:rPr>
          <w:sz w:val="24"/>
        </w:rPr>
        <w:t xml:space="preserve"> composition at the </w:t>
      </w:r>
      <w:r>
        <w:rPr>
          <w:rFonts w:hint="eastAsia"/>
          <w:sz w:val="24"/>
        </w:rPr>
        <w:t>phylum</w:t>
      </w:r>
      <w:r>
        <w:rPr>
          <w:sz w:val="24"/>
        </w:rPr>
        <w:t xml:space="preserve"> level</w:t>
      </w:r>
      <w:r>
        <w:rPr>
          <w:rFonts w:hint="eastAsia"/>
          <w:sz w:val="24"/>
        </w:rPr>
        <w:t>.</w:t>
      </w:r>
      <w:r>
        <w:rPr>
          <w:sz w:val="24"/>
        </w:rPr>
        <w:br w:type="page"/>
      </w:r>
    </w:p>
    <w:p w14:paraId="077D5A11">
      <w:pPr>
        <w:snapToGrid w:val="0"/>
        <w:spacing w:line="480" w:lineRule="auto"/>
        <w:rPr>
          <w:sz w:val="24"/>
        </w:rPr>
        <w:sectPr>
          <w:footerReference r:id="rId3" w:type="default"/>
          <w:footerReference r:id="rId4" w:type="even"/>
          <w:pgSz w:w="11900" w:h="16840"/>
          <w:pgMar w:top="1440" w:right="1797" w:bottom="1440" w:left="1797" w:header="720" w:footer="720" w:gutter="0"/>
          <w:cols w:space="720" w:num="1"/>
          <w:docGrid w:linePitch="423" w:charSpace="0"/>
        </w:sectPr>
      </w:pPr>
    </w:p>
    <w:p w14:paraId="037C71BF">
      <w:pPr>
        <w:snapToGrid w:val="0"/>
        <w:spacing w:line="480" w:lineRule="auto"/>
        <w:jc w:val="center"/>
      </w:pPr>
      <w:r>
        <w:rPr>
          <w:rFonts w:hint="eastAsia"/>
        </w:rPr>
        <w:drawing>
          <wp:inline distT="0" distB="0" distL="0" distR="0">
            <wp:extent cx="5039995" cy="4015105"/>
            <wp:effectExtent l="0" t="0" r="8255" b="4445"/>
            <wp:docPr id="19002978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297862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8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01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1025A">
      <w:pPr>
        <w:widowControl/>
        <w:spacing w:line="480" w:lineRule="auto"/>
        <w:jc w:val="left"/>
        <w:rPr>
          <w:sz w:val="24"/>
        </w:rPr>
      </w:pPr>
      <w:r>
        <w:rPr>
          <w:b/>
          <w:sz w:val="24"/>
        </w:rPr>
        <w:t>Fig. S</w:t>
      </w:r>
      <w:r>
        <w:rPr>
          <w:rFonts w:hint="eastAsia"/>
          <w:b/>
          <w:sz w:val="24"/>
        </w:rPr>
        <w:t>4</w:t>
      </w:r>
      <w:r>
        <w:rPr>
          <w:b/>
          <w:sz w:val="24"/>
        </w:rPr>
        <w:t xml:space="preserve">. </w:t>
      </w:r>
      <w:r>
        <w:rPr>
          <w:sz w:val="24"/>
        </w:rPr>
        <w:t>Phylogenomic tree of the assembled bins.</w:t>
      </w:r>
    </w:p>
    <w:p w14:paraId="0703B48A">
      <w:pPr>
        <w:widowControl/>
        <w:jc w:val="left"/>
        <w:rPr>
          <w:sz w:val="24"/>
        </w:rPr>
      </w:pPr>
      <w:r>
        <w:rPr>
          <w:sz w:val="24"/>
        </w:rPr>
        <w:br w:type="page"/>
      </w:r>
    </w:p>
    <w:p w14:paraId="3431B906">
      <w:pPr>
        <w:spacing w:line="360" w:lineRule="auto"/>
        <w:rPr>
          <w:b/>
          <w:bCs/>
          <w:color w:val="auto"/>
        </w:rPr>
      </w:pPr>
      <w:r>
        <w:rPr>
          <w:b/>
          <w:bCs/>
          <w:color w:val="auto"/>
        </w:rPr>
        <w:t>Table S</w:t>
      </w:r>
      <w:r>
        <w:rPr>
          <w:rFonts w:hint="eastAsia"/>
          <w:b/>
          <w:bCs/>
          <w:color w:val="auto"/>
        </w:rPr>
        <w:t>1.</w:t>
      </w:r>
      <w:r>
        <w:rPr>
          <w:b/>
          <w:bCs/>
          <w:color w:val="auto"/>
        </w:rPr>
        <w:t xml:space="preserve"> </w:t>
      </w:r>
      <w:r>
        <w:rPr>
          <w:color w:val="auto"/>
        </w:rPr>
        <w:t xml:space="preserve">Variance inflation factor analysis of </w:t>
      </w:r>
      <w:r>
        <w:rPr>
          <w:rFonts w:hint="eastAsia"/>
          <w:color w:val="auto"/>
          <w:lang w:val="en-US" w:eastAsia="zh-CN"/>
        </w:rPr>
        <w:t xml:space="preserve">the </w:t>
      </w:r>
      <w:r>
        <w:rPr>
          <w:color w:val="auto"/>
        </w:rPr>
        <w:t>environmental factors</w:t>
      </w:r>
      <w:r>
        <w:rPr>
          <w:rFonts w:hint="eastAsia"/>
          <w:color w:val="auto"/>
        </w:rPr>
        <w:t xml:space="preserve"> </w:t>
      </w:r>
      <w:r>
        <w:rPr>
          <w:color w:val="auto"/>
        </w:rPr>
        <w:t>after screening</w:t>
      </w:r>
      <w:r>
        <w:rPr>
          <w:rFonts w:hint="eastAsia"/>
          <w:color w:val="auto"/>
        </w:rPr>
        <w:t>.</w:t>
      </w:r>
    </w:p>
    <w:tbl>
      <w:tblPr>
        <w:tblStyle w:val="19"/>
        <w:tblW w:w="4253" w:type="dxa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45"/>
        <w:gridCol w:w="1908"/>
      </w:tblGrid>
      <w:tr w14:paraId="13C0F80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2" w:hRule="exact"/>
          <w:jc w:val="center"/>
        </w:trPr>
        <w:tc>
          <w:tcPr>
            <w:tcW w:w="2345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noWrap/>
            <w:vAlign w:val="center"/>
          </w:tcPr>
          <w:p w14:paraId="430755A8">
            <w:pPr>
              <w:spacing w:before="120" w:beforeLines="50" w:after="120" w:afterLines="50"/>
              <w:jc w:val="center"/>
              <w:rPr>
                <w:bCs/>
                <w:color w:val="auto"/>
                <w:kern w:val="0"/>
                <w:sz w:val="20"/>
                <w:szCs w:val="21"/>
              </w:rPr>
            </w:pPr>
            <w:r>
              <w:rPr>
                <w:bCs/>
                <w:color w:val="auto"/>
                <w:kern w:val="0"/>
                <w:sz w:val="20"/>
                <w:szCs w:val="21"/>
              </w:rPr>
              <w:t>Environment Factors</w:t>
            </w:r>
          </w:p>
        </w:tc>
        <w:tc>
          <w:tcPr>
            <w:tcW w:w="1908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noWrap/>
            <w:vAlign w:val="center"/>
          </w:tcPr>
          <w:p w14:paraId="0B6DF0F1">
            <w:pPr>
              <w:spacing w:before="120" w:beforeLines="50" w:after="120" w:afterLines="50"/>
              <w:jc w:val="center"/>
              <w:rPr>
                <w:bCs/>
                <w:color w:val="auto"/>
                <w:kern w:val="0"/>
                <w:sz w:val="20"/>
                <w:szCs w:val="21"/>
              </w:rPr>
            </w:pPr>
            <w:r>
              <w:rPr>
                <w:bCs/>
                <w:color w:val="auto"/>
                <w:kern w:val="0"/>
                <w:sz w:val="20"/>
                <w:szCs w:val="21"/>
              </w:rPr>
              <w:t>VIF After Filtering</w:t>
            </w:r>
          </w:p>
        </w:tc>
      </w:tr>
      <w:tr w14:paraId="5BE4199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single" w:color="auto" w:sz="4" w:space="0"/>
              <w:left w:val="nil"/>
              <w:bottom w:val="nil"/>
              <w:right w:val="nil"/>
            </w:tcBorders>
            <w:noWrap/>
            <w:vAlign w:val="center"/>
          </w:tcPr>
          <w:p w14:paraId="22BF207B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pH</w:t>
            </w:r>
          </w:p>
        </w:tc>
        <w:tc>
          <w:tcPr>
            <w:tcW w:w="1908" w:type="dxa"/>
            <w:tcBorders>
              <w:top w:val="single" w:color="auto" w:sz="4" w:space="0"/>
              <w:left w:val="nil"/>
              <w:bottom w:val="nil"/>
              <w:right w:val="nil"/>
            </w:tcBorders>
            <w:noWrap/>
            <w:vAlign w:val="center"/>
          </w:tcPr>
          <w:p w14:paraId="194DE202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3.47</w:t>
            </w:r>
          </w:p>
        </w:tc>
      </w:tr>
      <w:tr w14:paraId="32EC66E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493DCFE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DO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791E433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1.91</w:t>
            </w:r>
          </w:p>
        </w:tc>
      </w:tr>
      <w:tr w14:paraId="6C99B1C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69288E3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ORP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E9A32C0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3.33</w:t>
            </w:r>
          </w:p>
        </w:tc>
      </w:tr>
      <w:tr w14:paraId="44615D8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D558312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TOC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4921CA3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2.25</w:t>
            </w:r>
          </w:p>
        </w:tc>
      </w:tr>
      <w:tr w14:paraId="52F39EB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7F380AF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color w:val="auto"/>
                <w:kern w:val="0"/>
                <w:sz w:val="20"/>
                <w:szCs w:val="21"/>
              </w:rPr>
              <w:t>N</w:t>
            </w:r>
            <w:r>
              <w:rPr>
                <w:rFonts w:hint="eastAsia"/>
                <w:color w:val="auto"/>
                <w:kern w:val="0"/>
                <w:sz w:val="20"/>
                <w:szCs w:val="21"/>
              </w:rPr>
              <w:t>O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bscript"/>
              </w:rPr>
              <w:t>3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perscript"/>
              </w:rPr>
              <w:t>-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39C6C4C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2.50</w:t>
            </w:r>
          </w:p>
        </w:tc>
      </w:tr>
      <w:tr w14:paraId="43A5BCF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0C127A0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color w:val="auto"/>
                <w:kern w:val="0"/>
                <w:sz w:val="20"/>
                <w:szCs w:val="21"/>
              </w:rPr>
              <w:t>N</w:t>
            </w:r>
            <w:r>
              <w:rPr>
                <w:rFonts w:hint="eastAsia"/>
                <w:color w:val="auto"/>
                <w:kern w:val="0"/>
                <w:sz w:val="20"/>
                <w:szCs w:val="21"/>
              </w:rPr>
              <w:t>O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bscript"/>
              </w:rPr>
              <w:t>2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perscript"/>
              </w:rPr>
              <w:t>-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19D8F9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3.75</w:t>
            </w:r>
          </w:p>
        </w:tc>
      </w:tr>
      <w:tr w14:paraId="6AC0102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9F84F44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SO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bscript"/>
              </w:rPr>
              <w:t>4</w:t>
            </w:r>
            <w:r>
              <w:rPr>
                <w:rFonts w:hint="eastAsia"/>
                <w:color w:val="auto"/>
                <w:kern w:val="0"/>
                <w:sz w:val="20"/>
                <w:szCs w:val="21"/>
                <w:vertAlign w:val="superscript"/>
              </w:rPr>
              <w:t>2-</w:t>
            </w:r>
          </w:p>
        </w:tc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605E21B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</w:rPr>
              <w:t>4.75</w:t>
            </w:r>
          </w:p>
        </w:tc>
      </w:tr>
      <w:tr w14:paraId="518F091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2345" w:type="dxa"/>
            <w:tcBorders>
              <w:top w:val="nil"/>
              <w:left w:val="nil"/>
              <w:bottom w:val="single" w:color="auto" w:sz="4" w:space="0"/>
              <w:right w:val="nil"/>
            </w:tcBorders>
            <w:noWrap/>
            <w:vAlign w:val="center"/>
          </w:tcPr>
          <w:p w14:paraId="3F0DD674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rFonts w:hint="eastAsia"/>
                <w:color w:val="auto"/>
                <w:kern w:val="0"/>
                <w:sz w:val="20"/>
                <w:szCs w:val="21"/>
              </w:rPr>
              <w:t>TP</w:t>
            </w:r>
          </w:p>
        </w:tc>
        <w:tc>
          <w:tcPr>
            <w:tcW w:w="1908" w:type="dxa"/>
            <w:tcBorders>
              <w:top w:val="nil"/>
              <w:left w:val="nil"/>
              <w:bottom w:val="single" w:color="auto" w:sz="4" w:space="0"/>
              <w:right w:val="nil"/>
            </w:tcBorders>
            <w:noWrap/>
            <w:vAlign w:val="center"/>
          </w:tcPr>
          <w:p w14:paraId="10E8E467">
            <w:pPr>
              <w:jc w:val="center"/>
              <w:rPr>
                <w:color w:val="auto"/>
                <w:kern w:val="0"/>
                <w:sz w:val="20"/>
                <w:szCs w:val="21"/>
              </w:rPr>
            </w:pPr>
            <w:r>
              <w:rPr>
                <w:color w:val="auto"/>
                <w:kern w:val="0"/>
                <w:sz w:val="20"/>
              </w:rPr>
              <w:t>1.</w:t>
            </w:r>
            <w:r>
              <w:rPr>
                <w:rFonts w:hint="eastAsia"/>
                <w:color w:val="auto"/>
                <w:kern w:val="0"/>
                <w:sz w:val="20"/>
              </w:rPr>
              <w:t>52</w:t>
            </w:r>
          </w:p>
        </w:tc>
      </w:tr>
    </w:tbl>
    <w:p w14:paraId="302E40F4">
      <w:pPr>
        <w:widowControl/>
        <w:spacing w:line="480" w:lineRule="auto"/>
        <w:jc w:val="left"/>
        <w:rPr>
          <w:sz w:val="24"/>
        </w:rPr>
      </w:pPr>
    </w:p>
    <w:sectPr>
      <w:pgSz w:w="11900" w:h="16840"/>
      <w:pgMar w:top="1440" w:right="1797" w:bottom="1440" w:left="1797" w:header="851" w:footer="992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8E0FD6">
    <w:pPr>
      <w:pStyle w:val="3"/>
      <w:framePr w:wrap="around" w:vAnchor="text" w:hAnchor="page" w:x="5941" w:y="2"/>
      <w:jc w:val="center"/>
      <w:rPr>
        <w:rStyle w:val="9"/>
      </w:rPr>
    </w:pPr>
    <w:r>
      <w:rPr>
        <w:rStyle w:val="9"/>
      </w:rPr>
      <w:t>S</w:t>
    </w:r>
    <w:r>
      <w:fldChar w:fldCharType="begin"/>
    </w:r>
    <w:r>
      <w:rPr>
        <w:rStyle w:val="9"/>
      </w:rPr>
      <w:instrText xml:space="preserve">PAGE  </w:instrText>
    </w:r>
    <w:r>
      <w:fldChar w:fldCharType="separate"/>
    </w:r>
    <w:r>
      <w:rPr>
        <w:rStyle w:val="9"/>
      </w:rPr>
      <w:t>1</w:t>
    </w:r>
    <w:r>
      <w:fldChar w:fldCharType="end"/>
    </w:r>
  </w:p>
  <w:p w14:paraId="7702494C"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F78F25">
    <w:pPr>
      <w:pStyle w:val="3"/>
      <w:framePr w:wrap="around" w:vAnchor="text" w:hAnchor="margin" w:xAlign="center" w:y="1"/>
      <w:rPr>
        <w:rStyle w:val="9"/>
      </w:rPr>
    </w:pPr>
    <w:r>
      <w:fldChar w:fldCharType="begin"/>
    </w:r>
    <w:r>
      <w:rPr>
        <w:rStyle w:val="9"/>
      </w:rPr>
      <w:instrText xml:space="preserve">PAGE  </w:instrText>
    </w:r>
    <w:r>
      <w:fldChar w:fldCharType="separate"/>
    </w:r>
    <w:r>
      <w:rPr>
        <w:rStyle w:val="9"/>
      </w:rPr>
      <w:t>2</w:t>
    </w:r>
    <w:r>
      <w:fldChar w:fldCharType="end"/>
    </w:r>
  </w:p>
  <w:p w14:paraId="5D3B65B1"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48E4"/>
    <w:rsid w:val="00040658"/>
    <w:rsid w:val="0008582B"/>
    <w:rsid w:val="000F4C5D"/>
    <w:rsid w:val="001420DF"/>
    <w:rsid w:val="001569A0"/>
    <w:rsid w:val="00157CF8"/>
    <w:rsid w:val="001720A0"/>
    <w:rsid w:val="00180DC2"/>
    <w:rsid w:val="001912F5"/>
    <w:rsid w:val="00192A4A"/>
    <w:rsid w:val="001A24BC"/>
    <w:rsid w:val="001B06D4"/>
    <w:rsid w:val="001C4186"/>
    <w:rsid w:val="001D30F3"/>
    <w:rsid w:val="001D73AE"/>
    <w:rsid w:val="0021784A"/>
    <w:rsid w:val="002401E2"/>
    <w:rsid w:val="002E483A"/>
    <w:rsid w:val="0036463A"/>
    <w:rsid w:val="003B0D85"/>
    <w:rsid w:val="003E3010"/>
    <w:rsid w:val="004061DB"/>
    <w:rsid w:val="00410AA5"/>
    <w:rsid w:val="00410E04"/>
    <w:rsid w:val="00411921"/>
    <w:rsid w:val="00457BA8"/>
    <w:rsid w:val="004A48E4"/>
    <w:rsid w:val="004C7D96"/>
    <w:rsid w:val="0050264E"/>
    <w:rsid w:val="0052009F"/>
    <w:rsid w:val="00531154"/>
    <w:rsid w:val="005431D0"/>
    <w:rsid w:val="005867C1"/>
    <w:rsid w:val="005B4AC4"/>
    <w:rsid w:val="005F3941"/>
    <w:rsid w:val="00660D66"/>
    <w:rsid w:val="00675C72"/>
    <w:rsid w:val="006A13A3"/>
    <w:rsid w:val="00710E40"/>
    <w:rsid w:val="007625DA"/>
    <w:rsid w:val="007B4D54"/>
    <w:rsid w:val="00816CEC"/>
    <w:rsid w:val="00823F9E"/>
    <w:rsid w:val="00827910"/>
    <w:rsid w:val="00857B37"/>
    <w:rsid w:val="008616CB"/>
    <w:rsid w:val="008A4C19"/>
    <w:rsid w:val="008A5877"/>
    <w:rsid w:val="009053A0"/>
    <w:rsid w:val="00906627"/>
    <w:rsid w:val="00906E38"/>
    <w:rsid w:val="009754F3"/>
    <w:rsid w:val="009A10D6"/>
    <w:rsid w:val="009B25B8"/>
    <w:rsid w:val="009B4875"/>
    <w:rsid w:val="009C1E19"/>
    <w:rsid w:val="00A40E2C"/>
    <w:rsid w:val="00A60701"/>
    <w:rsid w:val="00A83E69"/>
    <w:rsid w:val="00AC3596"/>
    <w:rsid w:val="00AC7920"/>
    <w:rsid w:val="00AD7688"/>
    <w:rsid w:val="00AE7EAF"/>
    <w:rsid w:val="00B22424"/>
    <w:rsid w:val="00B77915"/>
    <w:rsid w:val="00BD71DC"/>
    <w:rsid w:val="00C12547"/>
    <w:rsid w:val="00C96BC1"/>
    <w:rsid w:val="00D24907"/>
    <w:rsid w:val="00D3730C"/>
    <w:rsid w:val="00D92566"/>
    <w:rsid w:val="00D94647"/>
    <w:rsid w:val="00DA75FB"/>
    <w:rsid w:val="00DC2E18"/>
    <w:rsid w:val="00DD2EDE"/>
    <w:rsid w:val="00EF3D57"/>
    <w:rsid w:val="00F22D91"/>
    <w:rsid w:val="00F33FF0"/>
    <w:rsid w:val="00F3441E"/>
    <w:rsid w:val="00F364E9"/>
    <w:rsid w:val="00F86484"/>
    <w:rsid w:val="00F96BC3"/>
    <w:rsid w:val="00FC4AE2"/>
    <w:rsid w:val="00FD29EB"/>
    <w:rsid w:val="0418542D"/>
    <w:rsid w:val="66DB3B0F"/>
    <w:rsid w:val="6C8F2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2767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qFormat="1" w:uiPriority="99" w:name="annotation reference"/>
    <w:lsdException w:qFormat="1"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7"/>
    <w:unhideWhenUsed/>
    <w:qFormat/>
    <w:uiPriority w:val="99"/>
    <w:pPr>
      <w:jc w:val="left"/>
    </w:pPr>
  </w:style>
  <w:style w:type="paragraph" w:styleId="3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annotation subject"/>
    <w:basedOn w:val="2"/>
    <w:next w:val="2"/>
    <w:link w:val="18"/>
    <w:semiHidden/>
    <w:unhideWhenUsed/>
    <w:qFormat/>
    <w:uiPriority w:val="99"/>
    <w:rPr>
      <w:b/>
      <w:bCs/>
    </w:rPr>
  </w:style>
  <w:style w:type="table" w:styleId="7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page number"/>
    <w:basedOn w:val="8"/>
    <w:qFormat/>
    <w:uiPriority w:val="0"/>
  </w:style>
  <w:style w:type="character" w:styleId="10">
    <w:name w:val="line number"/>
    <w:basedOn w:val="8"/>
    <w:semiHidden/>
    <w:unhideWhenUsed/>
    <w:qFormat/>
    <w:uiPriority w:val="99"/>
  </w:style>
  <w:style w:type="character" w:styleId="11">
    <w:name w:val="annotation reference"/>
    <w:basedOn w:val="8"/>
    <w:semiHidden/>
    <w:unhideWhenUsed/>
    <w:qFormat/>
    <w:uiPriority w:val="99"/>
    <w:rPr>
      <w:sz w:val="21"/>
      <w:szCs w:val="21"/>
    </w:rPr>
  </w:style>
  <w:style w:type="character" w:styleId="12">
    <w:name w:val="footnote reference"/>
    <w:semiHidden/>
    <w:qFormat/>
    <w:uiPriority w:val="0"/>
    <w:rPr>
      <w:vertAlign w:val="superscript"/>
    </w:rPr>
  </w:style>
  <w:style w:type="character" w:customStyle="1" w:styleId="13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3"/>
    <w:qFormat/>
    <w:uiPriority w:val="99"/>
    <w:rPr>
      <w:sz w:val="18"/>
      <w:szCs w:val="18"/>
    </w:rPr>
  </w:style>
  <w:style w:type="paragraph" w:customStyle="1" w:styleId="15">
    <w:name w:val="EndNote Bibliography"/>
    <w:basedOn w:val="1"/>
    <w:qFormat/>
    <w:uiPriority w:val="0"/>
    <w:rPr>
      <w:sz w:val="20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批注文字 字符"/>
    <w:basedOn w:val="8"/>
    <w:link w:val="2"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18">
    <w:name w:val="批注主题 字符"/>
    <w:basedOn w:val="17"/>
    <w:link w:val="5"/>
    <w:semiHidden/>
    <w:qFormat/>
    <w:uiPriority w:val="99"/>
    <w:rPr>
      <w:rFonts w:ascii="Times New Roman" w:hAnsi="Times New Roman" w:eastAsia="宋体" w:cs="Times New Roman"/>
      <w:b/>
      <w:bCs/>
      <w:szCs w:val="24"/>
    </w:rPr>
  </w:style>
  <w:style w:type="table" w:customStyle="1" w:styleId="19">
    <w:name w:val="网格型1"/>
    <w:basedOn w:val="6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209</Words>
  <Characters>1270</Characters>
  <Lines>10</Lines>
  <Paragraphs>2</Paragraphs>
  <TotalTime>42</TotalTime>
  <ScaleCrop>false</ScaleCrop>
  <LinksUpToDate>false</LinksUpToDate>
  <CharactersWithSpaces>1443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2026-02-10T02:14:00Z</dcterms:created>
  <dc:creator>Jiaxin Shi</dc:creator>
  <cp:lastModifiedBy>plankton</cp:lastModifiedBy>
  <dcterms:modified xsi:type="dcterms:W3CDTF">2026-05-08T09:26:05Z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D1CFDD4A4FC9417D9F8ED9C18B34F5AC_13</vt:lpwstr>
  </property>
  <property fmtid="{D5CDD505-2E9C-101B-9397-08002B2CF9AE}" pid="4" name="KSOTemplateDocerSaveRecord">
    <vt:lpwstr>eyJoZGlkIjoiNDE3NmYxMGNiNzg0YzAwNTUyODRhZmQ5NGFjYjJlNjIiLCJ1c2VySWQiOiI0MzUyNTAyNTUifQ==</vt:lpwstr>
  </property>
</Properties>
</file>